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30" w:rsidRDefault="00133230" w:rsidP="00133230">
      <w:pPr>
        <w:widowControl/>
        <w:spacing w:line="300" w:lineRule="atLeast"/>
        <w:outlineLvl w:val="2"/>
        <w:rPr>
          <w:rFonts w:ascii="Verdana" w:eastAsia="新細明體" w:hAnsi="Verdana" w:cs="新細明體"/>
          <w:b/>
          <w:bCs/>
          <w:color w:val="0000CC"/>
          <w:kern w:val="0"/>
          <w:sz w:val="27"/>
          <w:szCs w:val="27"/>
        </w:rPr>
      </w:pPr>
      <w:r w:rsidRPr="00133230">
        <w:rPr>
          <w:rFonts w:ascii="Verdana" w:eastAsia="新細明體" w:hAnsi="Verdana" w:cs="新細明體" w:hint="eastAsia"/>
          <w:b/>
          <w:bCs/>
          <w:color w:val="0000CC"/>
          <w:kern w:val="0"/>
          <w:sz w:val="27"/>
          <w:szCs w:val="27"/>
        </w:rPr>
        <w:t>如何計算</w:t>
      </w:r>
      <w:r w:rsidRPr="00133230">
        <w:rPr>
          <w:rFonts w:ascii="Verdana" w:eastAsia="新細明體" w:hAnsi="Verdana" w:cs="新細明體" w:hint="eastAsia"/>
          <w:b/>
          <w:bCs/>
          <w:color w:val="0000CC"/>
          <w:kern w:val="0"/>
          <w:sz w:val="27"/>
          <w:szCs w:val="27"/>
        </w:rPr>
        <w:t>退</w:t>
      </w:r>
      <w:r>
        <w:rPr>
          <w:rFonts w:ascii="Verdana" w:eastAsia="新細明體" w:hAnsi="Verdana" w:cs="新細明體" w:hint="eastAsia"/>
          <w:b/>
          <w:bCs/>
          <w:color w:val="0000CC"/>
          <w:kern w:val="0"/>
          <w:sz w:val="27"/>
          <w:szCs w:val="27"/>
        </w:rPr>
        <w:t>(</w:t>
      </w:r>
      <w:r>
        <w:rPr>
          <w:rFonts w:ascii="Verdana" w:eastAsia="新細明體" w:hAnsi="Verdana" w:cs="新細明體" w:hint="eastAsia"/>
          <w:b/>
          <w:bCs/>
          <w:color w:val="0000CC"/>
          <w:kern w:val="0"/>
          <w:sz w:val="27"/>
          <w:szCs w:val="27"/>
        </w:rPr>
        <w:t>休</w:t>
      </w:r>
      <w:r>
        <w:rPr>
          <w:rFonts w:ascii="Verdana" w:eastAsia="新細明體" w:hAnsi="Verdana" w:cs="新細明體" w:hint="eastAsia"/>
          <w:b/>
          <w:bCs/>
          <w:color w:val="0000CC"/>
          <w:kern w:val="0"/>
          <w:sz w:val="27"/>
          <w:szCs w:val="27"/>
        </w:rPr>
        <w:t>)</w:t>
      </w:r>
      <w:r w:rsidRPr="00133230">
        <w:rPr>
          <w:rFonts w:ascii="Verdana" w:eastAsia="新細明體" w:hAnsi="Verdana" w:cs="新細明體" w:hint="eastAsia"/>
          <w:b/>
          <w:bCs/>
          <w:color w:val="0000CC"/>
          <w:kern w:val="0"/>
          <w:sz w:val="27"/>
          <w:szCs w:val="27"/>
        </w:rPr>
        <w:t>職所得</w:t>
      </w:r>
      <w:r>
        <w:rPr>
          <w:rFonts w:ascii="Verdana" w:eastAsia="新細明體" w:hAnsi="Verdana" w:cs="新細明體" w:hint="eastAsia"/>
          <w:b/>
          <w:bCs/>
          <w:color w:val="0000CC"/>
          <w:kern w:val="0"/>
          <w:sz w:val="27"/>
          <w:szCs w:val="27"/>
        </w:rPr>
        <w:t>之</w:t>
      </w:r>
      <w:r w:rsidRPr="00133230">
        <w:rPr>
          <w:rFonts w:ascii="Verdana" w:eastAsia="新細明體" w:hAnsi="Verdana" w:cs="新細明體" w:hint="eastAsia"/>
          <w:b/>
          <w:bCs/>
          <w:color w:val="0000CC"/>
          <w:kern w:val="0"/>
          <w:sz w:val="27"/>
          <w:szCs w:val="27"/>
        </w:rPr>
        <w:t>稅</w:t>
      </w:r>
      <w:r>
        <w:rPr>
          <w:rFonts w:ascii="Verdana" w:eastAsia="新細明體" w:hAnsi="Verdana" w:cs="新細明體" w:hint="eastAsia"/>
          <w:b/>
          <w:bCs/>
          <w:color w:val="0000CC"/>
          <w:kern w:val="0"/>
          <w:sz w:val="27"/>
          <w:szCs w:val="27"/>
        </w:rPr>
        <w:t>金</w:t>
      </w:r>
    </w:p>
    <w:p w:rsidR="00133230" w:rsidRPr="00133230" w:rsidRDefault="00133230" w:rsidP="00133230">
      <w:pPr>
        <w:widowControl/>
        <w:spacing w:line="300" w:lineRule="atLeast"/>
        <w:outlineLvl w:val="2"/>
        <w:rPr>
          <w:rFonts w:ascii="Verdana" w:eastAsia="新細明體" w:hAnsi="Verdana" w:cs="新細明體"/>
          <w:b/>
          <w:bCs/>
          <w:color w:val="000000"/>
          <w:kern w:val="0"/>
          <w:sz w:val="27"/>
          <w:szCs w:val="27"/>
        </w:rPr>
      </w:pPr>
      <w:r>
        <w:rPr>
          <w:rFonts w:ascii="Verdana" w:eastAsia="新細明體" w:hAnsi="Verdana" w:cs="新細明體" w:hint="eastAsia"/>
          <w:b/>
          <w:bCs/>
          <w:color w:val="0000CC"/>
          <w:kern w:val="0"/>
          <w:sz w:val="27"/>
          <w:szCs w:val="27"/>
        </w:rPr>
        <w:t>(</w:t>
      </w:r>
      <w:r>
        <w:rPr>
          <w:rFonts w:ascii="Verdana" w:eastAsia="新細明體" w:hAnsi="Verdana" w:cs="新細明體" w:hint="eastAsia"/>
          <w:b/>
          <w:bCs/>
          <w:color w:val="0000CC"/>
          <w:kern w:val="0"/>
          <w:sz w:val="27"/>
          <w:szCs w:val="27"/>
        </w:rPr>
        <w:t>例</w:t>
      </w:r>
      <w:r>
        <w:rPr>
          <w:rFonts w:ascii="Verdana" w:eastAsia="新細明體" w:hAnsi="Verdana" w:cs="新細明體" w:hint="eastAsia"/>
          <w:b/>
          <w:bCs/>
          <w:color w:val="0000CC"/>
          <w:kern w:val="0"/>
          <w:sz w:val="27"/>
          <w:szCs w:val="27"/>
        </w:rPr>
        <w:t xml:space="preserve">) </w:t>
      </w:r>
      <w:r>
        <w:rPr>
          <w:rFonts w:ascii="Verdana" w:eastAsia="新細明體" w:hAnsi="Verdana" w:cs="新細明體" w:hint="eastAsia"/>
          <w:b/>
          <w:bCs/>
          <w:color w:val="0000CC"/>
          <w:kern w:val="0"/>
          <w:sz w:val="27"/>
          <w:szCs w:val="27"/>
        </w:rPr>
        <w:t>試算</w:t>
      </w:r>
      <w:r w:rsidRPr="00133230">
        <w:rPr>
          <w:rFonts w:ascii="Verdana" w:eastAsia="新細明體" w:hAnsi="Verdana" w:cs="新細明體"/>
          <w:b/>
          <w:bCs/>
          <w:color w:val="0000CC"/>
          <w:kern w:val="0"/>
          <w:sz w:val="27"/>
          <w:szCs w:val="27"/>
        </w:rPr>
        <w:t>給付</w:t>
      </w:r>
      <w:r w:rsidRPr="00133230">
        <w:rPr>
          <w:rFonts w:ascii="Verdana" w:eastAsia="新細明體" w:hAnsi="Verdana" w:cs="新細明體"/>
          <w:b/>
          <w:bCs/>
          <w:color w:val="0000CC"/>
          <w:kern w:val="0"/>
          <w:sz w:val="27"/>
          <w:szCs w:val="27"/>
        </w:rPr>
        <w:t>103</w:t>
      </w:r>
      <w:r w:rsidRPr="00133230">
        <w:rPr>
          <w:rFonts w:ascii="Verdana" w:eastAsia="新細明體" w:hAnsi="Verdana" w:cs="新細明體"/>
          <w:b/>
          <w:bCs/>
          <w:color w:val="0000CC"/>
          <w:kern w:val="0"/>
          <w:sz w:val="27"/>
          <w:szCs w:val="27"/>
        </w:rPr>
        <w:t>年度退休員</w:t>
      </w:r>
      <w:bookmarkStart w:id="0" w:name="_GoBack"/>
      <w:bookmarkEnd w:id="0"/>
      <w:r w:rsidRPr="00133230">
        <w:rPr>
          <w:rFonts w:ascii="Verdana" w:eastAsia="新細明體" w:hAnsi="Verdana" w:cs="新細明體"/>
          <w:b/>
          <w:bCs/>
          <w:color w:val="0000CC"/>
          <w:kern w:val="0"/>
          <w:sz w:val="27"/>
          <w:szCs w:val="27"/>
        </w:rPr>
        <w:t>工之退休金，扣繳義務人如何計算其應稅之退職所得</w:t>
      </w:r>
    </w:p>
    <w:p w:rsidR="00133230" w:rsidRPr="00133230" w:rsidRDefault="00133230" w:rsidP="00133230">
      <w:pPr>
        <w:widowControl/>
        <w:spacing w:line="300" w:lineRule="atLeast"/>
        <w:rPr>
          <w:rFonts w:ascii="Verdana" w:eastAsia="新細明體" w:hAnsi="Verdana" w:cs="新細明體"/>
          <w:color w:val="000000"/>
          <w:kern w:val="0"/>
          <w:sz w:val="23"/>
          <w:szCs w:val="23"/>
        </w:rPr>
      </w:pPr>
      <w:r w:rsidRPr="00133230">
        <w:rPr>
          <w:rFonts w:ascii="Verdana" w:eastAsia="新細明體" w:hAnsi="Verdana" w:cs="新細明體"/>
          <w:color w:val="000000"/>
          <w:kern w:val="0"/>
          <w:sz w:val="23"/>
          <w:szCs w:val="23"/>
        </w:rPr>
        <w:t> </w:t>
      </w:r>
    </w:p>
    <w:p w:rsidR="00133230" w:rsidRPr="00133230" w:rsidRDefault="00133230" w:rsidP="00133230">
      <w:pPr>
        <w:widowControl/>
        <w:spacing w:line="561" w:lineRule="atLeast"/>
        <w:ind w:firstLine="641"/>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財政部</w:t>
      </w:r>
      <w:proofErr w:type="gramStart"/>
      <w:r w:rsidRPr="00133230">
        <w:rPr>
          <w:rFonts w:ascii="標楷體" w:eastAsia="標楷體" w:hAnsi="標楷體" w:cs="新細明體" w:hint="eastAsia"/>
          <w:color w:val="333333"/>
          <w:kern w:val="0"/>
          <w:sz w:val="36"/>
          <w:szCs w:val="36"/>
          <w:bdr w:val="none" w:sz="0" w:space="0" w:color="auto" w:frame="1"/>
        </w:rPr>
        <w:t>臺</w:t>
      </w:r>
      <w:proofErr w:type="gramEnd"/>
      <w:r w:rsidRPr="00133230">
        <w:rPr>
          <w:rFonts w:ascii="標楷體" w:eastAsia="標楷體" w:hAnsi="標楷體" w:cs="新細明體" w:hint="eastAsia"/>
          <w:color w:val="333333"/>
          <w:kern w:val="0"/>
          <w:sz w:val="36"/>
          <w:szCs w:val="36"/>
          <w:bdr w:val="none" w:sz="0" w:space="0" w:color="auto" w:frame="1"/>
        </w:rPr>
        <w:t>北國稅局表示，所得稅法第14條第1項規定退職所得係指個人領取之退休金、資遣費、退職金、離職金、終身</w:t>
      </w:r>
      <w:proofErr w:type="gramStart"/>
      <w:r w:rsidRPr="00133230">
        <w:rPr>
          <w:rFonts w:ascii="標楷體" w:eastAsia="標楷體" w:hAnsi="標楷體" w:cs="新細明體" w:hint="eastAsia"/>
          <w:color w:val="333333"/>
          <w:kern w:val="0"/>
          <w:sz w:val="36"/>
          <w:szCs w:val="36"/>
          <w:bdr w:val="none" w:sz="0" w:space="0" w:color="auto" w:frame="1"/>
        </w:rPr>
        <w:t>俸</w:t>
      </w:r>
      <w:proofErr w:type="gramEnd"/>
      <w:r w:rsidRPr="00133230">
        <w:rPr>
          <w:rFonts w:ascii="標楷體" w:eastAsia="標楷體" w:hAnsi="標楷體" w:cs="新細明體" w:hint="eastAsia"/>
          <w:color w:val="333333"/>
          <w:kern w:val="0"/>
          <w:sz w:val="36"/>
          <w:szCs w:val="36"/>
          <w:bdr w:val="none" w:sz="0" w:space="0" w:color="auto" w:frame="1"/>
        </w:rPr>
        <w:t>、非屬保險給付之養老金及依勞工退休金條例規定辦理年金保險之保險給付等所得。但個人歷年自薪資所得中自行繳付之儲金或依勞工退休金條例規定提繳之年金保險費，於提繳年度已計入薪資所得課稅部分及其孳息，不在此限。</w:t>
      </w:r>
    </w:p>
    <w:p w:rsidR="00133230" w:rsidRPr="00133230" w:rsidRDefault="00133230" w:rsidP="00133230">
      <w:pPr>
        <w:widowControl/>
        <w:spacing w:line="561" w:lineRule="atLeast"/>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該局說明，退職所得其課稅所得額之計算，依一次或分期領取而有不同，財政部公告</w:t>
      </w:r>
      <w:proofErr w:type="gramStart"/>
      <w:r w:rsidRPr="00133230">
        <w:rPr>
          <w:rFonts w:ascii="標楷體" w:eastAsia="標楷體" w:hAnsi="標楷體" w:cs="新細明體" w:hint="eastAsia"/>
          <w:color w:val="333333"/>
          <w:kern w:val="0"/>
          <w:sz w:val="36"/>
          <w:szCs w:val="36"/>
          <w:bdr w:val="none" w:sz="0" w:space="0" w:color="auto" w:frame="1"/>
        </w:rPr>
        <w:t>103</w:t>
      </w:r>
      <w:proofErr w:type="gramEnd"/>
      <w:r w:rsidRPr="00133230">
        <w:rPr>
          <w:rFonts w:ascii="標楷體" w:eastAsia="標楷體" w:hAnsi="標楷體" w:cs="新細明體" w:hint="eastAsia"/>
          <w:color w:val="333333"/>
          <w:kern w:val="0"/>
          <w:sz w:val="36"/>
          <w:szCs w:val="36"/>
          <w:bdr w:val="none" w:sz="0" w:space="0" w:color="auto" w:frame="1"/>
        </w:rPr>
        <w:t>年度計算退職所得定額免稅之金額如下：</w:t>
      </w:r>
    </w:p>
    <w:p w:rsidR="00133230" w:rsidRPr="00133230" w:rsidRDefault="00133230" w:rsidP="00133230">
      <w:pPr>
        <w:widowControl/>
        <w:spacing w:line="561" w:lineRule="atLeast"/>
        <w:ind w:left="-720" w:firstLine="641"/>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一、一次領取退職所得者，所得額之計算方式如下：</w:t>
      </w:r>
    </w:p>
    <w:p w:rsidR="00133230" w:rsidRPr="00133230" w:rsidRDefault="00133230" w:rsidP="00133230">
      <w:pPr>
        <w:widowControl/>
        <w:spacing w:line="561" w:lineRule="atLeast"/>
        <w:ind w:left="1276" w:hanging="958"/>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（一）一次領取總額在175,000元乘以退職服務年資之金額以下者，所得額為0。</w:t>
      </w:r>
    </w:p>
    <w:p w:rsidR="00133230" w:rsidRPr="00133230" w:rsidRDefault="00133230" w:rsidP="00133230">
      <w:pPr>
        <w:widowControl/>
        <w:spacing w:line="561" w:lineRule="atLeast"/>
        <w:ind w:left="1276" w:hanging="958"/>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lastRenderedPageBreak/>
        <w:t>（二）超過175,000元乘以退職服務年資之金額，未達351,000元乘以退職服務年資之金額部分，以其半數為所得額。</w:t>
      </w:r>
    </w:p>
    <w:p w:rsidR="00133230" w:rsidRPr="00133230" w:rsidRDefault="00133230" w:rsidP="00133230">
      <w:pPr>
        <w:widowControl/>
        <w:spacing w:line="561" w:lineRule="atLeast"/>
        <w:ind w:left="1276" w:hanging="958"/>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（三）超過351,000元乘以退職服務年資之金額部分，全數為所得額。</w:t>
      </w:r>
    </w:p>
    <w:p w:rsidR="00133230" w:rsidRPr="00133230" w:rsidRDefault="00133230" w:rsidP="00133230">
      <w:pPr>
        <w:widowControl/>
        <w:spacing w:line="561" w:lineRule="atLeast"/>
        <w:ind w:left="641" w:hanging="641"/>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二、分期領取退職所得者，以全年領取總額，減除758,000元後　　之餘額為所得額。</w:t>
      </w:r>
    </w:p>
    <w:p w:rsidR="00133230" w:rsidRPr="00133230" w:rsidRDefault="00133230" w:rsidP="00133230">
      <w:pPr>
        <w:widowControl/>
        <w:spacing w:line="561" w:lineRule="atLeast"/>
        <w:ind w:firstLine="641"/>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該局進一步說明，退職服務年資非為整數時，其尾數未滿6個月，以半年計，如尾數已滿6個月，則以1年計。該局舉例，A君於103年2月退休，一次領取退職所得，其在甲公司有9年6個月年資，則退職服務年資以10年計，</w:t>
      </w:r>
      <w:proofErr w:type="gramStart"/>
      <w:r w:rsidRPr="00133230">
        <w:rPr>
          <w:rFonts w:ascii="標楷體" w:eastAsia="標楷體" w:hAnsi="標楷體" w:cs="新細明體" w:hint="eastAsia"/>
          <w:color w:val="333333"/>
          <w:kern w:val="0"/>
          <w:sz w:val="36"/>
          <w:szCs w:val="36"/>
          <w:bdr w:val="none" w:sz="0" w:space="0" w:color="auto" w:frame="1"/>
        </w:rPr>
        <w:t>若甲公司</w:t>
      </w:r>
      <w:proofErr w:type="gramEnd"/>
      <w:r w:rsidRPr="00133230">
        <w:rPr>
          <w:rFonts w:ascii="標楷體" w:eastAsia="標楷體" w:hAnsi="標楷體" w:cs="新細明體" w:hint="eastAsia"/>
          <w:color w:val="333333"/>
          <w:kern w:val="0"/>
          <w:sz w:val="36"/>
          <w:szCs w:val="36"/>
          <w:bdr w:val="none" w:sz="0" w:space="0" w:color="auto" w:frame="1"/>
        </w:rPr>
        <w:t>給付之退休金為1,500,000元，因未逾定額免稅1,750,000元(175,000元*10年)，故A君所領取之退休金全數免扣繳稅額並免申報；</w:t>
      </w:r>
      <w:proofErr w:type="gramStart"/>
      <w:r w:rsidRPr="00133230">
        <w:rPr>
          <w:rFonts w:ascii="標楷體" w:eastAsia="標楷體" w:hAnsi="標楷體" w:cs="新細明體" w:hint="eastAsia"/>
          <w:color w:val="333333"/>
          <w:kern w:val="0"/>
          <w:sz w:val="36"/>
          <w:szCs w:val="36"/>
          <w:bdr w:val="none" w:sz="0" w:space="0" w:color="auto" w:frame="1"/>
        </w:rPr>
        <w:t>倘甲公司</w:t>
      </w:r>
      <w:proofErr w:type="gramEnd"/>
      <w:r w:rsidRPr="00133230">
        <w:rPr>
          <w:rFonts w:ascii="標楷體" w:eastAsia="標楷體" w:hAnsi="標楷體" w:cs="新細明體" w:hint="eastAsia"/>
          <w:color w:val="333333"/>
          <w:kern w:val="0"/>
          <w:sz w:val="36"/>
          <w:szCs w:val="36"/>
          <w:bdr w:val="none" w:sz="0" w:space="0" w:color="auto" w:frame="1"/>
        </w:rPr>
        <w:t>給付A君之退休金為2,000,000元，則其免稅額度為1,875,000元[(175,000元*10年)+(2,000,000-175,000元*10年)/2]，甲公司應以其餘額125,000元依法扣繳稅額及申報，甲公司扣繳義務</w:t>
      </w:r>
      <w:proofErr w:type="gramStart"/>
      <w:r w:rsidRPr="00133230">
        <w:rPr>
          <w:rFonts w:ascii="標楷體" w:eastAsia="標楷體" w:hAnsi="標楷體" w:cs="新細明體" w:hint="eastAsia"/>
          <w:color w:val="333333"/>
          <w:kern w:val="0"/>
          <w:sz w:val="36"/>
          <w:szCs w:val="36"/>
          <w:bdr w:val="none" w:sz="0" w:space="0" w:color="auto" w:frame="1"/>
        </w:rPr>
        <w:t>人應代扣</w:t>
      </w:r>
      <w:proofErr w:type="gramEnd"/>
      <w:r w:rsidRPr="00133230">
        <w:rPr>
          <w:rFonts w:ascii="標楷體" w:eastAsia="標楷體" w:hAnsi="標楷體" w:cs="新細明體" w:hint="eastAsia"/>
          <w:color w:val="333333"/>
          <w:kern w:val="0"/>
          <w:sz w:val="36"/>
          <w:szCs w:val="36"/>
          <w:bdr w:val="none" w:sz="0" w:space="0" w:color="auto" w:frame="1"/>
        </w:rPr>
        <w:t>之扣繳稅款＝125,000</w:t>
      </w:r>
      <w:r w:rsidRPr="00133230">
        <w:rPr>
          <w:rFonts w:ascii="標楷體" w:eastAsia="標楷體" w:hAnsi="標楷體" w:cs="新細明體" w:hint="eastAsia"/>
          <w:color w:val="333333"/>
          <w:kern w:val="0"/>
          <w:sz w:val="36"/>
          <w:szCs w:val="36"/>
          <w:bdr w:val="none" w:sz="0" w:space="0" w:color="auto" w:frame="1"/>
        </w:rPr>
        <w:lastRenderedPageBreak/>
        <w:t>×6%＝7,500元（依各類所得扣繳率標準第2條及第3條規定，中華民國境內居住者扣繳率6%、非中華民國境內居住者扣繳率18%）；A君則應將125,000元併入</w:t>
      </w:r>
      <w:proofErr w:type="gramStart"/>
      <w:r w:rsidRPr="00133230">
        <w:rPr>
          <w:rFonts w:ascii="標楷體" w:eastAsia="標楷體" w:hAnsi="標楷體" w:cs="新細明體" w:hint="eastAsia"/>
          <w:color w:val="333333"/>
          <w:kern w:val="0"/>
          <w:sz w:val="36"/>
          <w:szCs w:val="36"/>
          <w:bdr w:val="none" w:sz="0" w:space="0" w:color="auto" w:frame="1"/>
        </w:rPr>
        <w:t>103</w:t>
      </w:r>
      <w:proofErr w:type="gramEnd"/>
      <w:r w:rsidRPr="00133230">
        <w:rPr>
          <w:rFonts w:ascii="標楷體" w:eastAsia="標楷體" w:hAnsi="標楷體" w:cs="新細明體" w:hint="eastAsia"/>
          <w:color w:val="333333"/>
          <w:kern w:val="0"/>
          <w:sz w:val="36"/>
          <w:szCs w:val="36"/>
          <w:bdr w:val="none" w:sz="0" w:space="0" w:color="auto" w:frame="1"/>
        </w:rPr>
        <w:t>年度綜合所得總額申報繳納所得稅。</w:t>
      </w:r>
    </w:p>
    <w:p w:rsidR="00133230" w:rsidRPr="00133230" w:rsidRDefault="00133230" w:rsidP="00133230">
      <w:pPr>
        <w:widowControl/>
        <w:spacing w:line="561" w:lineRule="atLeast"/>
        <w:ind w:firstLine="641"/>
        <w:rPr>
          <w:rFonts w:ascii="Verdana" w:eastAsia="新細明體" w:hAnsi="Verdana" w:cs="新細明體"/>
          <w:color w:val="000000"/>
          <w:kern w:val="0"/>
          <w:sz w:val="23"/>
          <w:szCs w:val="23"/>
        </w:rPr>
      </w:pPr>
      <w:r w:rsidRPr="00133230">
        <w:rPr>
          <w:rFonts w:ascii="標楷體" w:eastAsia="標楷體" w:hAnsi="標楷體" w:cs="新細明體" w:hint="eastAsia"/>
          <w:color w:val="333333"/>
          <w:kern w:val="0"/>
          <w:sz w:val="36"/>
          <w:szCs w:val="36"/>
          <w:bdr w:val="none" w:sz="0" w:space="0" w:color="auto" w:frame="1"/>
        </w:rPr>
        <w:t>該局呼籲，公司給付退職所得時應確實依規定辦理扣繳稅款及申報，以免因未依規定扣繳及申報而遭處罰。</w:t>
      </w:r>
    </w:p>
    <w:p w:rsidR="00133230" w:rsidRPr="00133230" w:rsidRDefault="00133230" w:rsidP="00133230">
      <w:pPr>
        <w:widowControl/>
        <w:spacing w:line="561" w:lineRule="atLeast"/>
        <w:ind w:hanging="675"/>
        <w:rPr>
          <w:rFonts w:ascii="Verdana" w:eastAsia="新細明體" w:hAnsi="Verdana" w:cs="新細明體"/>
          <w:color w:val="000000"/>
          <w:kern w:val="0"/>
          <w:sz w:val="23"/>
          <w:szCs w:val="23"/>
        </w:rPr>
      </w:pPr>
      <w:proofErr w:type="gramStart"/>
      <w:r w:rsidRPr="00133230">
        <w:rPr>
          <w:rFonts w:ascii="標楷體" w:eastAsia="標楷體" w:hAnsi="標楷體" w:cs="新細明體" w:hint="eastAsia"/>
          <w:color w:val="000000"/>
          <w:kern w:val="0"/>
          <w:sz w:val="36"/>
          <w:szCs w:val="36"/>
          <w:bdr w:val="none" w:sz="0" w:space="0" w:color="auto" w:frame="1"/>
        </w:rPr>
        <w:t>（</w:t>
      </w:r>
      <w:proofErr w:type="gramEnd"/>
      <w:r w:rsidRPr="00133230">
        <w:rPr>
          <w:rFonts w:ascii="標楷體" w:eastAsia="標楷體" w:hAnsi="標楷體" w:cs="新細明體" w:hint="eastAsia"/>
          <w:color w:val="000000"/>
          <w:kern w:val="0"/>
          <w:sz w:val="36"/>
          <w:szCs w:val="36"/>
          <w:bdr w:val="none" w:sz="0" w:space="0" w:color="auto" w:frame="1"/>
        </w:rPr>
        <w:t>聯絡人：松山分局李課長；電話</w:t>
      </w:r>
      <w:r w:rsidRPr="00133230">
        <w:rPr>
          <w:rFonts w:ascii="標楷體" w:eastAsia="標楷體" w:hAnsi="標楷體" w:cs="Times New Roman" w:hint="eastAsia"/>
          <w:color w:val="000000"/>
          <w:kern w:val="0"/>
          <w:sz w:val="36"/>
          <w:szCs w:val="36"/>
          <w:bdr w:val="none" w:sz="0" w:space="0" w:color="auto" w:frame="1"/>
        </w:rPr>
        <w:t>2718-3606</w:t>
      </w:r>
      <w:r w:rsidRPr="00133230">
        <w:rPr>
          <w:rFonts w:ascii="標楷體" w:eastAsia="標楷體" w:hAnsi="標楷體" w:cs="新細明體" w:hint="eastAsia"/>
          <w:color w:val="000000"/>
          <w:kern w:val="0"/>
          <w:sz w:val="36"/>
          <w:szCs w:val="36"/>
          <w:bdr w:val="none" w:sz="0" w:space="0" w:color="auto" w:frame="1"/>
        </w:rPr>
        <w:t>分機</w:t>
      </w:r>
      <w:r w:rsidRPr="00133230">
        <w:rPr>
          <w:rFonts w:ascii="標楷體" w:eastAsia="標楷體" w:hAnsi="標楷體" w:cs="Times New Roman" w:hint="eastAsia"/>
          <w:color w:val="000000"/>
          <w:kern w:val="0"/>
          <w:sz w:val="36"/>
          <w:szCs w:val="36"/>
          <w:bdr w:val="none" w:sz="0" w:space="0" w:color="auto" w:frame="1"/>
        </w:rPr>
        <w:t>550</w:t>
      </w:r>
      <w:proofErr w:type="gramStart"/>
      <w:r w:rsidRPr="00133230">
        <w:rPr>
          <w:rFonts w:ascii="標楷體" w:eastAsia="標楷體" w:hAnsi="標楷體" w:cs="新細明體" w:hint="eastAsia"/>
          <w:color w:val="000000"/>
          <w:kern w:val="0"/>
          <w:sz w:val="36"/>
          <w:szCs w:val="36"/>
          <w:bdr w:val="none" w:sz="0" w:space="0" w:color="auto" w:frame="1"/>
        </w:rPr>
        <w:t>）</w:t>
      </w:r>
      <w:proofErr w:type="gramEnd"/>
    </w:p>
    <w:p w:rsidR="00024460" w:rsidRPr="00133230" w:rsidRDefault="00133230"/>
    <w:sectPr w:rsidR="00024460" w:rsidRPr="00133230" w:rsidSect="00133230">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30"/>
    <w:rsid w:val="00133230"/>
    <w:rsid w:val="005A4BB2"/>
    <w:rsid w:val="009D26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C5CC2-9557-40AE-924C-19E9ABB0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5860">
      <w:bodyDiv w:val="1"/>
      <w:marLeft w:val="0"/>
      <w:marRight w:val="0"/>
      <w:marTop w:val="0"/>
      <w:marBottom w:val="0"/>
      <w:divBdr>
        <w:top w:val="none" w:sz="0" w:space="0" w:color="auto"/>
        <w:left w:val="none" w:sz="0" w:space="0" w:color="auto"/>
        <w:bottom w:val="none" w:sz="0" w:space="0" w:color="auto"/>
        <w:right w:val="none" w:sz="0" w:space="0" w:color="auto"/>
      </w:divBdr>
      <w:divsChild>
        <w:div w:id="128623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 地工部 林志權</dc:creator>
  <cp:keywords/>
  <dc:description/>
  <cp:lastModifiedBy>GT 地工部 林志權</cp:lastModifiedBy>
  <cp:revision>1</cp:revision>
  <dcterms:created xsi:type="dcterms:W3CDTF">2015-09-23T12:14:00Z</dcterms:created>
  <dcterms:modified xsi:type="dcterms:W3CDTF">2015-09-23T12:18:00Z</dcterms:modified>
</cp:coreProperties>
</file>